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Admissions</w:t>
      </w:r>
      <w:r w:rsidDel="00000000" w:rsidR="00000000" w:rsidRPr="00000000">
        <w:rPr>
          <w:rFonts w:ascii="Arial" w:cs="Arial" w:eastAsia="Arial" w:hAnsi="Arial"/>
          <w:b w:val="1"/>
          <w:sz w:val="28"/>
          <w:szCs w:val="28"/>
          <w:rtl w:val="0"/>
        </w:rPr>
        <w:t xml:space="preserve"> Policy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Southbank International School seeks to attract students of diverse nationalities whose parents are in agreement with the school’s mission and values. Students must be able to engage meaningfully with the programmes offered at the various levels of the school. They must have the interpersonal skills for collaborative learning as well as the self-discipline and motivation necessary for independent study, inquiry and research, which are key features of the International Baccalaureate programmes offered at Southbank. The school seeks students who will make a positive contribution to the school community. Applications are accepted throughout the year, subject to space availability, and are considered in order of completion.</w:t>
      </w:r>
    </w:p>
    <w:p w:rsidR="00000000" w:rsidDel="00000000" w:rsidP="00000000" w:rsidRDefault="00000000" w:rsidRPr="00000000" w14:paraId="00000004">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To be admitted, an applicant’s records must provide evidence of their above-average academic ability, and age-appropriate motivation and skills, and demonstrate attributes consistent with the IB Learner Profile. Grade placement at Southbank is determined by an applicant’s date of birth. With applicants coming from educational systems all over the world, there are no suitable standardised admissions examinations; therefore, a record of success in the previous school setting is required.</w:t>
      </w:r>
    </w:p>
    <w:p w:rsidR="00000000" w:rsidDel="00000000" w:rsidP="00000000" w:rsidRDefault="00000000" w:rsidRPr="00000000" w14:paraId="00000006">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Admissions decisions are based on a review of the following: a completed application form, student essays/student drawing, copies of reports from the previous school (two years of reports as appropriate), and reference(s) from the last school. In addition, all Grade 4–11 applicants who are non-native English speakers will need to demonstrate that they meet the minimum EAL (English as an Additional Language) entry requirements for the grade they are applying for (the Admissions Office will send an applicant a link to an online EAL test). Occasionally, as part of the decision-making process, the Admissions Committee may request additional information, specialist reports, and/or request a personal interview (in person or via Skype) with an applicant. The school places an expectation on families applying for places that information provided is accurate.</w:t>
      </w:r>
    </w:p>
    <w:p w:rsidR="00000000" w:rsidDel="00000000" w:rsidP="00000000" w:rsidRDefault="00000000" w:rsidRPr="00000000" w14:paraId="00000008">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Southbank is a day school and therefore all applicants must be living with a parent or responsible adult family member.  Any exception to this situation must be agreed in advance with the Admissions Committee.  If at any stage a student’s living arrangements change, this must be discussed in advance with the Admissions Committee who reserve the right to require the family to withdraw the student from the school.</w:t>
      </w:r>
    </w:p>
    <w:p w:rsidR="00000000" w:rsidDel="00000000" w:rsidP="00000000" w:rsidRDefault="00000000" w:rsidRPr="00000000" w14:paraId="0000000A">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Southbank has a sibling priority policy, subject to meeting all other admissions criteria. Students with disabilities who meet the above criteria are welcome to apply. The school has Learning Support and Accessibility policies and procedures and reviews these regularly. </w:t>
      </w:r>
    </w:p>
    <w:p w:rsidR="00000000" w:rsidDel="00000000" w:rsidP="00000000" w:rsidRDefault="00000000" w:rsidRPr="00000000" w14:paraId="0000000C">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ageBreakBefore w:val="0"/>
        <w:spacing w:after="0" w:line="24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IB Learner Profile </w:t>
      </w:r>
    </w:p>
    <w:p w:rsidR="00000000" w:rsidDel="00000000" w:rsidP="00000000" w:rsidRDefault="00000000" w:rsidRPr="00000000" w14:paraId="0000000E">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Underpinning all IB Programmes at Southbank is the IB Learner Profile whose ten attributes</w:t>
      </w:r>
    </w:p>
    <w:p w:rsidR="00000000" w:rsidDel="00000000" w:rsidP="00000000" w:rsidRDefault="00000000" w:rsidRPr="00000000" w14:paraId="00000010">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characterise successful learners as: Inquirers, Knowledgeable, Reflective, Communicators, Caring, Thinkers, Open-minded, Principled, Balanced, Risk-takers.</w:t>
      </w:r>
    </w:p>
    <w:sectPr>
      <w:headerReference r:id="rId6" w:type="default"/>
      <w:footerReference r:id="rId7" w:type="default"/>
      <w:pgSz w:h="16838" w:w="11906"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Admissions Policy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Date reviewed: </w:t>
    </w:r>
    <w:r w:rsidDel="00000000" w:rsidR="00000000" w:rsidRPr="00000000">
      <w:rPr>
        <w:rFonts w:ascii="Arial" w:cs="Arial" w:eastAsia="Arial" w:hAnsi="Arial"/>
        <w:color w:val="4f81bd"/>
        <w:rtl w:val="0"/>
      </w:rPr>
      <w:t xml:space="preserve">Sept 2023</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708" w:before="0" w:line="240" w:lineRule="auto"/>
      <w:ind w:left="0" w:right="0" w:firstLine="0"/>
      <w:jc w:val="left"/>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Date for next review: </w:t>
    </w:r>
    <w:r w:rsidDel="00000000" w:rsidR="00000000" w:rsidRPr="00000000">
      <w:rPr>
        <w:rFonts w:ascii="Arial" w:cs="Arial" w:eastAsia="Arial" w:hAnsi="Arial"/>
        <w:color w:val="4f81bd"/>
        <w:rtl w:val="0"/>
      </w:rPr>
      <w:t xml:space="preserve">Sept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70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914400" cy="646513"/>
              <wp:effectExtent b="0" l="0" r="0" t="0"/>
              <wp:wrapNone/>
              <wp:docPr id="1" name=""/>
              <a:graphic>
                <a:graphicData uri="http://schemas.microsoft.com/office/word/2010/wordprocessingShape">
                  <wps:wsp>
                    <wps:cNvSpPr/>
                    <wps:cNvPr id="2" name="Shape 2"/>
                    <wps:spPr>
                      <a:xfrm>
                        <a:off x="0" y="0"/>
                        <a:ext cx="646513" cy="914400"/>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0</wp:posOffset>
              </wp:positionV>
              <wp:extent cx="914400" cy="64651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14400" cy="64651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57875" cy="390525"/>
              <wp:effectExtent b="0" l="0" r="0" t="0"/>
              <wp:wrapNone/>
              <wp:docPr id="2" name=""/>
              <a:graphic>
                <a:graphicData uri="http://schemas.microsoft.com/office/word/2010/wordprocessingShape">
                  <wps:wsp>
                    <wps:cNvSpPr/>
                    <wps:cNvPr id="3" name="Shape 3"/>
                    <wps:spPr>
                      <a:xfrm>
                        <a:off x="2480245" y="3594580"/>
                        <a:ext cx="5731510" cy="3708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548dd4"/>
                              <w:sz w:val="22"/>
                              <w:vertAlign w:val="baseline"/>
                            </w:rPr>
                            <w:t xml:space="preserve">Southbank International School:  Admissions</w:t>
                          </w:r>
                          <w:r w:rsidDel="00000000" w:rsidR="00000000" w:rsidRPr="00000000">
                            <w:rPr>
                              <w:rFonts w:ascii="Arial" w:cs="Arial" w:eastAsia="Arial" w:hAnsi="Arial"/>
                              <w:b w:val="1"/>
                              <w:i w:val="0"/>
                              <w:smallCaps w:val="0"/>
                              <w:strike w:val="0"/>
                              <w:color w:val="548dd4"/>
                              <w:sz w:val="22"/>
                              <w:vertAlign w:val="baseline"/>
                            </w:rPr>
                            <w:t xml:space="preserve"> Policy</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57875" cy="390525"/>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857875" cy="3905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